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77D4" w14:textId="77777777" w:rsidR="004B71D9" w:rsidRDefault="00567A18">
      <w:pPr>
        <w:spacing w:after="0"/>
      </w:pPr>
      <w:r>
        <w:rPr>
          <w:rFonts w:ascii="Times New Roman" w:eastAsia="Times New Roman" w:hAnsi="Times New Roman" w:cs="Times New Roman"/>
        </w:rPr>
        <w:t xml:space="preserve"> </w:t>
      </w:r>
    </w:p>
    <w:p w14:paraId="71D6CEC3" w14:textId="77777777" w:rsidR="004B71D9" w:rsidRDefault="00567A18">
      <w:pPr>
        <w:spacing w:after="7"/>
      </w:pPr>
      <w:r>
        <w:rPr>
          <w:rFonts w:ascii="Times New Roman" w:eastAsia="Times New Roman" w:hAnsi="Times New Roman" w:cs="Times New Roman"/>
        </w:rPr>
        <w:t xml:space="preserve"> </w:t>
      </w:r>
    </w:p>
    <w:p w14:paraId="58C70B5F" w14:textId="77777777" w:rsidR="004B71D9" w:rsidRDefault="00567A18">
      <w:pPr>
        <w:spacing w:after="0"/>
        <w:ind w:left="360"/>
        <w:jc w:val="center"/>
      </w:pPr>
      <w:r>
        <w:rPr>
          <w:rFonts w:ascii="Times New Roman" w:eastAsia="Times New Roman" w:hAnsi="Times New Roman" w:cs="Times New Roman"/>
          <w:sz w:val="24"/>
        </w:rPr>
        <w:t xml:space="preserve">T.C. </w:t>
      </w:r>
    </w:p>
    <w:p w14:paraId="670C1127" w14:textId="77777777" w:rsidR="004B71D9" w:rsidRDefault="00567A18">
      <w:pPr>
        <w:pStyle w:val="Balk1"/>
        <w:ind w:left="0" w:right="2084"/>
      </w:pPr>
      <w:r>
        <w:t xml:space="preserve">ULAŞTIRMA VE ALTYAPI BAKANLIĞINA </w:t>
      </w:r>
    </w:p>
    <w:p w14:paraId="54FAF69C" w14:textId="77777777" w:rsidR="004B71D9" w:rsidRDefault="00567A18">
      <w:pPr>
        <w:spacing w:after="0"/>
        <w:ind w:left="422"/>
        <w:jc w:val="center"/>
      </w:pPr>
      <w:r>
        <w:rPr>
          <w:rFonts w:ascii="Times New Roman" w:eastAsia="Times New Roman" w:hAnsi="Times New Roman" w:cs="Times New Roman"/>
          <w:sz w:val="24"/>
        </w:rPr>
        <w:t xml:space="preserve"> </w:t>
      </w:r>
    </w:p>
    <w:tbl>
      <w:tblPr>
        <w:tblStyle w:val="TableGrid"/>
        <w:tblW w:w="10205" w:type="dxa"/>
        <w:tblInd w:w="5" w:type="dxa"/>
        <w:tblCellMar>
          <w:top w:w="48" w:type="dxa"/>
          <w:left w:w="110" w:type="dxa"/>
          <w:right w:w="51" w:type="dxa"/>
        </w:tblCellMar>
        <w:tblLook w:val="04A0" w:firstRow="1" w:lastRow="0" w:firstColumn="1" w:lastColumn="0" w:noHBand="0" w:noVBand="1"/>
      </w:tblPr>
      <w:tblGrid>
        <w:gridCol w:w="9151"/>
        <w:gridCol w:w="1054"/>
      </w:tblGrid>
      <w:tr w:rsidR="004B71D9" w14:paraId="70923588" w14:textId="77777777">
        <w:trPr>
          <w:trHeight w:val="1118"/>
        </w:trPr>
        <w:tc>
          <w:tcPr>
            <w:tcW w:w="10205" w:type="dxa"/>
            <w:gridSpan w:val="2"/>
            <w:tcBorders>
              <w:top w:val="single" w:sz="4" w:space="0" w:color="000000"/>
              <w:left w:val="single" w:sz="4" w:space="0" w:color="000000"/>
              <w:bottom w:val="single" w:sz="8" w:space="0" w:color="000000"/>
              <w:right w:val="single" w:sz="6" w:space="0" w:color="000000"/>
            </w:tcBorders>
          </w:tcPr>
          <w:p w14:paraId="3AD398A9" w14:textId="77777777" w:rsidR="004B71D9" w:rsidRDefault="00567A18">
            <w:pPr>
              <w:ind w:left="5"/>
              <w:jc w:val="center"/>
            </w:pPr>
            <w:r>
              <w:rPr>
                <w:rFonts w:ascii="Times New Roman" w:eastAsia="Times New Roman" w:hAnsi="Times New Roman" w:cs="Times New Roman"/>
                <w:sz w:val="24"/>
              </w:rPr>
              <w:t xml:space="preserve"> </w:t>
            </w:r>
          </w:p>
          <w:p w14:paraId="62946B00" w14:textId="77777777" w:rsidR="004B71D9" w:rsidRDefault="00567A18">
            <w:pPr>
              <w:ind w:right="57"/>
              <w:jc w:val="center"/>
            </w:pPr>
            <w:r>
              <w:rPr>
                <w:rFonts w:ascii="Times New Roman" w:eastAsia="Times New Roman" w:hAnsi="Times New Roman" w:cs="Times New Roman"/>
                <w:sz w:val="24"/>
              </w:rPr>
              <w:t xml:space="preserve">TİO (Taşıma İşleri Organizatörlüğü) Yetki Belgesi </w:t>
            </w:r>
          </w:p>
          <w:p w14:paraId="72D9D682" w14:textId="77777777" w:rsidR="004B71D9" w:rsidRDefault="00567A18">
            <w:pPr>
              <w:ind w:right="53"/>
              <w:jc w:val="center"/>
            </w:pPr>
            <w:r>
              <w:rPr>
                <w:rFonts w:ascii="Times New Roman" w:eastAsia="Times New Roman" w:hAnsi="Times New Roman" w:cs="Times New Roman"/>
                <w:sz w:val="24"/>
              </w:rPr>
              <w:t xml:space="preserve">İstenen Bilgi ve Belgeler </w:t>
            </w:r>
          </w:p>
          <w:p w14:paraId="2A072E91" w14:textId="77777777" w:rsidR="004B71D9" w:rsidRDefault="00567A18">
            <w:pPr>
              <w:ind w:left="5"/>
              <w:jc w:val="center"/>
            </w:pPr>
            <w:r>
              <w:rPr>
                <w:rFonts w:ascii="Times New Roman" w:eastAsia="Times New Roman" w:hAnsi="Times New Roman" w:cs="Times New Roman"/>
                <w:sz w:val="24"/>
              </w:rPr>
              <w:t xml:space="preserve"> </w:t>
            </w:r>
          </w:p>
        </w:tc>
      </w:tr>
      <w:tr w:rsidR="004B71D9" w14:paraId="5299D725" w14:textId="77777777">
        <w:trPr>
          <w:trHeight w:val="365"/>
        </w:trPr>
        <w:tc>
          <w:tcPr>
            <w:tcW w:w="9151" w:type="dxa"/>
            <w:tcBorders>
              <w:top w:val="single" w:sz="8" w:space="0" w:color="000000"/>
              <w:left w:val="single" w:sz="4" w:space="0" w:color="000000"/>
              <w:bottom w:val="single" w:sz="4" w:space="0" w:color="000000"/>
              <w:right w:val="single" w:sz="4" w:space="0" w:color="000000"/>
            </w:tcBorders>
          </w:tcPr>
          <w:p w14:paraId="341C9FD6"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1- Başvuru dilekçesi </w:t>
            </w:r>
          </w:p>
        </w:tc>
        <w:tc>
          <w:tcPr>
            <w:tcW w:w="1054" w:type="dxa"/>
            <w:tcBorders>
              <w:top w:val="single" w:sz="8" w:space="0" w:color="000000"/>
              <w:left w:val="single" w:sz="4" w:space="0" w:color="000000"/>
              <w:bottom w:val="single" w:sz="4" w:space="0" w:color="000000"/>
              <w:right w:val="single" w:sz="6" w:space="0" w:color="000000"/>
            </w:tcBorders>
          </w:tcPr>
          <w:p w14:paraId="492CB147" w14:textId="77777777" w:rsidR="004B71D9" w:rsidRDefault="00567A18">
            <w:r>
              <w:rPr>
                <w:rFonts w:ascii="Times New Roman" w:eastAsia="Times New Roman" w:hAnsi="Times New Roman" w:cs="Times New Roman"/>
              </w:rPr>
              <w:t xml:space="preserve"> </w:t>
            </w:r>
          </w:p>
        </w:tc>
      </w:tr>
      <w:tr w:rsidR="004B71D9" w14:paraId="5BCB12A0" w14:textId="77777777">
        <w:trPr>
          <w:trHeight w:val="732"/>
        </w:trPr>
        <w:tc>
          <w:tcPr>
            <w:tcW w:w="9151" w:type="dxa"/>
            <w:tcBorders>
              <w:top w:val="single" w:sz="4" w:space="0" w:color="000000"/>
              <w:left w:val="single" w:sz="4" w:space="0" w:color="000000"/>
              <w:bottom w:val="single" w:sz="4" w:space="0" w:color="000000"/>
              <w:right w:val="single" w:sz="4" w:space="0" w:color="000000"/>
            </w:tcBorders>
          </w:tcPr>
          <w:p w14:paraId="72DF84EC" w14:textId="1B19ECD3" w:rsidR="004B71D9" w:rsidRPr="00440616" w:rsidRDefault="00567A18">
            <w:pPr>
              <w:ind w:left="235" w:hanging="235"/>
              <w:rPr>
                <w:rFonts w:ascii="Times New Roman" w:hAnsi="Times New Roman" w:cs="Times New Roman"/>
              </w:rPr>
            </w:pPr>
            <w:r w:rsidRPr="00440616">
              <w:rPr>
                <w:rFonts w:ascii="Times New Roman" w:eastAsia="Times New Roman" w:hAnsi="Times New Roman" w:cs="Times New Roman"/>
              </w:rPr>
              <w:t>2-  Başvuru dilekçesini imzalayan kişilerin temsile ve ilzama yetkili olduklarına dair sicil  tasdiknamesi.</w:t>
            </w:r>
          </w:p>
        </w:tc>
        <w:tc>
          <w:tcPr>
            <w:tcW w:w="1054" w:type="dxa"/>
            <w:tcBorders>
              <w:top w:val="single" w:sz="4" w:space="0" w:color="000000"/>
              <w:left w:val="single" w:sz="4" w:space="0" w:color="000000"/>
              <w:bottom w:val="single" w:sz="4" w:space="0" w:color="000000"/>
              <w:right w:val="single" w:sz="6" w:space="0" w:color="000000"/>
            </w:tcBorders>
          </w:tcPr>
          <w:p w14:paraId="03FB53D0" w14:textId="77777777" w:rsidR="004B71D9" w:rsidRDefault="00567A18">
            <w:r>
              <w:rPr>
                <w:rFonts w:ascii="Times New Roman" w:eastAsia="Times New Roman" w:hAnsi="Times New Roman" w:cs="Times New Roman"/>
              </w:rPr>
              <w:t xml:space="preserve"> </w:t>
            </w:r>
          </w:p>
        </w:tc>
      </w:tr>
      <w:tr w:rsidR="004B71D9" w14:paraId="18A7CC8C" w14:textId="77777777">
        <w:trPr>
          <w:trHeight w:val="1171"/>
        </w:trPr>
        <w:tc>
          <w:tcPr>
            <w:tcW w:w="9151" w:type="dxa"/>
            <w:tcBorders>
              <w:top w:val="single" w:sz="4" w:space="0" w:color="000000"/>
              <w:left w:val="single" w:sz="4" w:space="0" w:color="000000"/>
              <w:bottom w:val="single" w:sz="4" w:space="0" w:color="000000"/>
              <w:right w:val="single" w:sz="4" w:space="0" w:color="000000"/>
            </w:tcBorders>
          </w:tcPr>
          <w:p w14:paraId="18966995"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w:t>
            </w:r>
          </w:p>
          <w:p w14:paraId="5D5D2A5B" w14:textId="77777777" w:rsidR="004B71D9" w:rsidRPr="00440616" w:rsidRDefault="00567A18">
            <w:pPr>
              <w:spacing w:line="241" w:lineRule="auto"/>
              <w:jc w:val="both"/>
              <w:rPr>
                <w:rFonts w:ascii="Times New Roman" w:hAnsi="Times New Roman" w:cs="Times New Roman"/>
              </w:rPr>
            </w:pPr>
            <w:r w:rsidRPr="00440616">
              <w:rPr>
                <w:rFonts w:ascii="Times New Roman" w:eastAsia="Times New Roman" w:hAnsi="Times New Roman" w:cs="Times New Roman"/>
              </w:rPr>
              <w:t>3- Taşımacı gerçek kişi ise ilgili kişinin; yabancı uyruklu kişiler için noter onaylı pasaport örnekleri ile tüzel kişilik ise firma ortakları ile temsile yetkili kişinin adli sicil belgesi,</w:t>
            </w:r>
            <w:r w:rsidRPr="00440616">
              <w:rPr>
                <w:rFonts w:ascii="Times New Roman" w:eastAsia="Times New Roman" w:hAnsi="Times New Roman" w:cs="Times New Roman"/>
                <w:color w:val="FF0000"/>
              </w:rPr>
              <w:t xml:space="preserve">            </w:t>
            </w:r>
          </w:p>
          <w:p w14:paraId="5A2ECBDC"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NOT: A.Ş. ve Kooperatif Yönetim Kurulu Bşk. ve üyelerinin </w:t>
            </w:r>
          </w:p>
        </w:tc>
        <w:tc>
          <w:tcPr>
            <w:tcW w:w="1054" w:type="dxa"/>
            <w:tcBorders>
              <w:top w:val="single" w:sz="4" w:space="0" w:color="000000"/>
              <w:left w:val="single" w:sz="4" w:space="0" w:color="000000"/>
              <w:bottom w:val="single" w:sz="4" w:space="0" w:color="000000"/>
              <w:right w:val="single" w:sz="6" w:space="0" w:color="000000"/>
            </w:tcBorders>
          </w:tcPr>
          <w:p w14:paraId="504F98DA" w14:textId="77777777" w:rsidR="004B71D9" w:rsidRDefault="00567A18">
            <w:r>
              <w:rPr>
                <w:rFonts w:ascii="Times New Roman" w:eastAsia="Times New Roman" w:hAnsi="Times New Roman" w:cs="Times New Roman"/>
              </w:rPr>
              <w:t xml:space="preserve"> </w:t>
            </w:r>
          </w:p>
        </w:tc>
      </w:tr>
      <w:tr w:rsidR="004B71D9" w14:paraId="2F46ABF9" w14:textId="77777777">
        <w:trPr>
          <w:trHeight w:val="1277"/>
        </w:trPr>
        <w:tc>
          <w:tcPr>
            <w:tcW w:w="9151" w:type="dxa"/>
            <w:tcBorders>
              <w:top w:val="single" w:sz="4" w:space="0" w:color="000000"/>
              <w:left w:val="single" w:sz="4" w:space="0" w:color="000000"/>
              <w:bottom w:val="single" w:sz="4" w:space="0" w:color="000000"/>
              <w:right w:val="single" w:sz="4" w:space="0" w:color="000000"/>
            </w:tcBorders>
          </w:tcPr>
          <w:p w14:paraId="785ED92B"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w:t>
            </w:r>
          </w:p>
          <w:p w14:paraId="69BE3D4E"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4-Merkez ve/veya şube işyeri adresine sahip olduğunu gösterir belge (Kira Kontratı/Tapu) </w:t>
            </w:r>
          </w:p>
          <w:p w14:paraId="4242CEC0" w14:textId="77777777" w:rsidR="004B71D9" w:rsidRPr="00440616" w:rsidRDefault="00567A18">
            <w:pPr>
              <w:jc w:val="both"/>
              <w:rPr>
                <w:rFonts w:ascii="Times New Roman" w:hAnsi="Times New Roman" w:cs="Times New Roman"/>
              </w:rPr>
            </w:pPr>
            <w:r w:rsidRPr="00440616">
              <w:rPr>
                <w:rFonts w:ascii="Times New Roman" w:eastAsia="Times New Roman" w:hAnsi="Times New Roman" w:cs="Times New Roman"/>
              </w:rPr>
              <w:t xml:space="preserve">NOT: Ticaret Odası Faaliyet Belgesinde yer alan işyeri adresi ile kira kontratı/tapuda yer alan adres bilgilerinin örtüşmesi gerekir.  </w:t>
            </w:r>
          </w:p>
        </w:tc>
        <w:tc>
          <w:tcPr>
            <w:tcW w:w="1054" w:type="dxa"/>
            <w:tcBorders>
              <w:top w:val="single" w:sz="4" w:space="0" w:color="000000"/>
              <w:left w:val="single" w:sz="4" w:space="0" w:color="000000"/>
              <w:bottom w:val="single" w:sz="4" w:space="0" w:color="000000"/>
              <w:right w:val="single" w:sz="6" w:space="0" w:color="000000"/>
            </w:tcBorders>
          </w:tcPr>
          <w:p w14:paraId="1802676E" w14:textId="77777777" w:rsidR="004B71D9" w:rsidRDefault="00567A18">
            <w:r>
              <w:rPr>
                <w:rFonts w:ascii="Times New Roman" w:eastAsia="Times New Roman" w:hAnsi="Times New Roman" w:cs="Times New Roman"/>
              </w:rPr>
              <w:t xml:space="preserve"> </w:t>
            </w:r>
          </w:p>
        </w:tc>
      </w:tr>
      <w:tr w:rsidR="004B71D9" w14:paraId="79470F3B" w14:textId="77777777">
        <w:trPr>
          <w:trHeight w:val="360"/>
        </w:trPr>
        <w:tc>
          <w:tcPr>
            <w:tcW w:w="9151" w:type="dxa"/>
            <w:tcBorders>
              <w:top w:val="single" w:sz="4" w:space="0" w:color="000000"/>
              <w:left w:val="single" w:sz="4" w:space="0" w:color="000000"/>
              <w:bottom w:val="single" w:sz="4" w:space="0" w:color="000000"/>
              <w:right w:val="single" w:sz="4" w:space="0" w:color="000000"/>
            </w:tcBorders>
          </w:tcPr>
          <w:p w14:paraId="45402E19"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5-Ticaret sicili gazetesi/gazeteleri </w:t>
            </w:r>
          </w:p>
        </w:tc>
        <w:tc>
          <w:tcPr>
            <w:tcW w:w="1054" w:type="dxa"/>
            <w:tcBorders>
              <w:top w:val="single" w:sz="4" w:space="0" w:color="000000"/>
              <w:left w:val="single" w:sz="4" w:space="0" w:color="000000"/>
              <w:bottom w:val="single" w:sz="4" w:space="0" w:color="000000"/>
              <w:right w:val="single" w:sz="6" w:space="0" w:color="000000"/>
            </w:tcBorders>
          </w:tcPr>
          <w:p w14:paraId="4A35493A" w14:textId="77777777" w:rsidR="004B71D9" w:rsidRDefault="00567A18">
            <w:r>
              <w:rPr>
                <w:rFonts w:ascii="Times New Roman" w:eastAsia="Times New Roman" w:hAnsi="Times New Roman" w:cs="Times New Roman"/>
              </w:rPr>
              <w:t xml:space="preserve"> </w:t>
            </w:r>
          </w:p>
        </w:tc>
      </w:tr>
      <w:tr w:rsidR="004B71D9" w14:paraId="44E6C1C2" w14:textId="77777777" w:rsidTr="00202921">
        <w:trPr>
          <w:trHeight w:val="1173"/>
        </w:trPr>
        <w:tc>
          <w:tcPr>
            <w:tcW w:w="9151" w:type="dxa"/>
            <w:tcBorders>
              <w:top w:val="single" w:sz="4" w:space="0" w:color="000000"/>
              <w:left w:val="single" w:sz="4" w:space="0" w:color="000000"/>
              <w:bottom w:val="single" w:sz="4" w:space="0" w:color="000000"/>
              <w:right w:val="single" w:sz="4" w:space="0" w:color="000000"/>
            </w:tcBorders>
          </w:tcPr>
          <w:p w14:paraId="245DA133" w14:textId="76ACD6CD" w:rsidR="004B71D9" w:rsidRPr="00440616" w:rsidRDefault="00567A18" w:rsidP="00202921">
            <w:pPr>
              <w:jc w:val="both"/>
              <w:rPr>
                <w:rFonts w:ascii="Times New Roman" w:hAnsi="Times New Roman" w:cs="Times New Roman"/>
              </w:rPr>
            </w:pPr>
            <w:r w:rsidRPr="00440616">
              <w:rPr>
                <w:rFonts w:ascii="Times New Roman" w:eastAsia="Times New Roman" w:hAnsi="Times New Roman" w:cs="Times New Roman"/>
              </w:rPr>
              <w:t xml:space="preserve"> 6- İlgili meslek odası ya da ticaret ve/veya sanayi odalarından birine kayıtlı olduğunu gösteren </w:t>
            </w:r>
            <w:r w:rsidR="00202921" w:rsidRPr="00440616">
              <w:rPr>
                <w:rFonts w:ascii="Times New Roman" w:hAnsi="Times New Roman" w:cs="Times New Roman"/>
              </w:rPr>
              <w:t xml:space="preserve">başvuru tarihinin içinde bulunduğu yılda alınmış ve en az 6 ay geçerliliği bulunan </w:t>
            </w:r>
            <w:r w:rsidRPr="00440616">
              <w:rPr>
                <w:rFonts w:ascii="Times New Roman" w:eastAsia="Times New Roman" w:hAnsi="Times New Roman" w:cs="Times New Roman"/>
              </w:rPr>
              <w:t>(Belgede Taşımacının Unvanı, Adresi, Kayıt Tarihi, Çalışma Konusu/İştigali, Sermayesi ve varsa Firma Ortakları Yazılı Olacak.)</w:t>
            </w:r>
            <w:r w:rsidRPr="00440616">
              <w:rPr>
                <w:rFonts w:ascii="Times New Roman" w:eastAsia="Times New Roman" w:hAnsi="Times New Roman" w:cs="Times New Roman"/>
                <w:color w:val="FF0000"/>
              </w:rPr>
              <w:t xml:space="preserve"> </w:t>
            </w:r>
            <w:r w:rsidRPr="00440616">
              <w:rPr>
                <w:rFonts w:ascii="Times New Roman" w:eastAsia="Times New Roman" w:hAnsi="Times New Roman" w:cs="Times New Roman"/>
              </w:rPr>
              <w:t xml:space="preserve">Faaliyet Belgesi </w:t>
            </w:r>
          </w:p>
        </w:tc>
        <w:tc>
          <w:tcPr>
            <w:tcW w:w="1054" w:type="dxa"/>
            <w:tcBorders>
              <w:top w:val="single" w:sz="4" w:space="0" w:color="000000"/>
              <w:left w:val="single" w:sz="4" w:space="0" w:color="000000"/>
              <w:bottom w:val="single" w:sz="4" w:space="0" w:color="000000"/>
              <w:right w:val="single" w:sz="6" w:space="0" w:color="000000"/>
            </w:tcBorders>
          </w:tcPr>
          <w:p w14:paraId="36FDE27E" w14:textId="77777777" w:rsidR="004B71D9" w:rsidRDefault="00567A18">
            <w:r>
              <w:rPr>
                <w:rFonts w:ascii="Times New Roman" w:eastAsia="Times New Roman" w:hAnsi="Times New Roman" w:cs="Times New Roman"/>
              </w:rPr>
              <w:t xml:space="preserve"> </w:t>
            </w:r>
          </w:p>
        </w:tc>
      </w:tr>
      <w:tr w:rsidR="004B71D9" w14:paraId="22038BA6" w14:textId="77777777" w:rsidTr="00202921">
        <w:trPr>
          <w:trHeight w:val="794"/>
        </w:trPr>
        <w:tc>
          <w:tcPr>
            <w:tcW w:w="9151" w:type="dxa"/>
            <w:tcBorders>
              <w:top w:val="single" w:sz="4" w:space="0" w:color="000000"/>
              <w:left w:val="single" w:sz="4" w:space="0" w:color="000000"/>
              <w:bottom w:val="single" w:sz="4" w:space="0" w:color="000000"/>
              <w:right w:val="single" w:sz="4" w:space="0" w:color="000000"/>
            </w:tcBorders>
          </w:tcPr>
          <w:p w14:paraId="63A3FBFA"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w:t>
            </w:r>
          </w:p>
          <w:p w14:paraId="2506911F" w14:textId="180B18E7" w:rsidR="004B71D9" w:rsidRPr="00440616" w:rsidRDefault="00567A18">
            <w:pPr>
              <w:rPr>
                <w:rFonts w:ascii="Times New Roman" w:hAnsi="Times New Roman" w:cs="Times New Roman"/>
              </w:rPr>
            </w:pPr>
            <w:r w:rsidRPr="00440616">
              <w:rPr>
                <w:rFonts w:ascii="Times New Roman" w:eastAsia="Times New Roman" w:hAnsi="Times New Roman" w:cs="Times New Roman"/>
              </w:rPr>
              <w:t>7- Yetki Belgesi için başvuranların en az 1</w:t>
            </w:r>
            <w:r w:rsidR="00202921" w:rsidRPr="00440616">
              <w:rPr>
                <w:rFonts w:ascii="Times New Roman" w:eastAsia="Times New Roman" w:hAnsi="Times New Roman" w:cs="Times New Roman"/>
              </w:rPr>
              <w:t>.000.</w:t>
            </w:r>
            <w:r w:rsidRPr="00440616">
              <w:rPr>
                <w:rFonts w:ascii="Times New Roman" w:eastAsia="Times New Roman" w:hAnsi="Times New Roman" w:cs="Times New Roman"/>
              </w:rPr>
              <w:t xml:space="preserve">000 Türk Lirası sahip olmaları şarttır. </w:t>
            </w:r>
          </w:p>
          <w:p w14:paraId="07FA09F0" w14:textId="7EF0691F" w:rsidR="004B71D9" w:rsidRPr="00440616" w:rsidRDefault="00202921">
            <w:pPr>
              <w:rPr>
                <w:rFonts w:ascii="Times New Roman" w:hAnsi="Times New Roman" w:cs="Times New Roman"/>
              </w:rPr>
            </w:pPr>
            <w:r w:rsidRPr="00440616">
              <w:rPr>
                <w:rFonts w:ascii="Times New Roman" w:eastAsia="Times New Roman" w:hAnsi="Times New Roman" w:cs="Times New Roman"/>
              </w:rPr>
              <w:t>(</w:t>
            </w:r>
            <w:r w:rsidR="00567A18" w:rsidRPr="00440616">
              <w:rPr>
                <w:rFonts w:ascii="Times New Roman" w:eastAsia="Times New Roman" w:hAnsi="Times New Roman" w:cs="Times New Roman"/>
              </w:rPr>
              <w:t>Faaliyet Belgesinde yazılı olan sermaye.</w:t>
            </w:r>
            <w:r w:rsidRPr="00440616">
              <w:rPr>
                <w:rFonts w:ascii="Times New Roman" w:eastAsia="Times New Roman" w:hAnsi="Times New Roman" w:cs="Times New Roman"/>
              </w:rPr>
              <w:t>)</w:t>
            </w:r>
          </w:p>
          <w:p w14:paraId="1E5BEE18"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w:t>
            </w:r>
          </w:p>
        </w:tc>
        <w:tc>
          <w:tcPr>
            <w:tcW w:w="1054" w:type="dxa"/>
            <w:tcBorders>
              <w:top w:val="single" w:sz="4" w:space="0" w:color="000000"/>
              <w:left w:val="single" w:sz="4" w:space="0" w:color="000000"/>
              <w:bottom w:val="single" w:sz="4" w:space="0" w:color="000000"/>
              <w:right w:val="single" w:sz="6" w:space="0" w:color="000000"/>
            </w:tcBorders>
          </w:tcPr>
          <w:p w14:paraId="47C9C125" w14:textId="77777777" w:rsidR="004B71D9" w:rsidRDefault="00567A18">
            <w:r>
              <w:rPr>
                <w:rFonts w:ascii="Times New Roman" w:eastAsia="Times New Roman" w:hAnsi="Times New Roman" w:cs="Times New Roman"/>
              </w:rPr>
              <w:t xml:space="preserve"> </w:t>
            </w:r>
          </w:p>
        </w:tc>
      </w:tr>
      <w:tr w:rsidR="00E60291" w14:paraId="38404CEE" w14:textId="77777777" w:rsidTr="00440616">
        <w:trPr>
          <w:trHeight w:val="1958"/>
        </w:trPr>
        <w:tc>
          <w:tcPr>
            <w:tcW w:w="9151" w:type="dxa"/>
            <w:tcBorders>
              <w:top w:val="single" w:sz="4" w:space="0" w:color="000000"/>
              <w:left w:val="single" w:sz="4" w:space="0" w:color="000000"/>
              <w:bottom w:val="single" w:sz="4" w:space="0" w:color="000000"/>
              <w:right w:val="single" w:sz="4" w:space="0" w:color="000000"/>
            </w:tcBorders>
          </w:tcPr>
          <w:p w14:paraId="7566D3B3" w14:textId="77777777" w:rsidR="00440616" w:rsidRPr="00440616" w:rsidRDefault="00440616" w:rsidP="00440616">
            <w:pPr>
              <w:shd w:val="clear" w:color="auto" w:fill="FFFFFF"/>
              <w:rPr>
                <w:rFonts w:ascii="Times New Roman" w:eastAsia="Times New Roman" w:hAnsi="Times New Roman" w:cs="Times New Roman"/>
              </w:rPr>
            </w:pPr>
          </w:p>
          <w:p w14:paraId="2609DB85" w14:textId="41159E4D" w:rsidR="00440616" w:rsidRPr="00440616" w:rsidRDefault="00693AFC" w:rsidP="00440616">
            <w:pPr>
              <w:shd w:val="clear" w:color="auto" w:fill="FFFFFF"/>
              <w:rPr>
                <w:rFonts w:ascii="Times New Roman" w:eastAsia="Times New Roman" w:hAnsi="Times New Roman" w:cs="Times New Roman"/>
              </w:rPr>
            </w:pPr>
            <w:r w:rsidRPr="00440616">
              <w:rPr>
                <w:rFonts w:ascii="Times New Roman" w:eastAsia="Times New Roman" w:hAnsi="Times New Roman" w:cs="Times New Roman"/>
              </w:rPr>
              <w:t xml:space="preserve">8- Yetki Belgesi için başvuranların </w:t>
            </w:r>
            <w:r w:rsidR="00E60291" w:rsidRPr="00440616">
              <w:rPr>
                <w:rFonts w:ascii="Times New Roman" w:eastAsia="Times New Roman" w:hAnsi="Times New Roman" w:cs="Times New Roman"/>
              </w:rPr>
              <w:t>Yönetmeliğin "Eğitim ve Mesleki Yeterlilik" başlıklı 16 ncı maddesi gereğince</w:t>
            </w:r>
            <w:r w:rsidRPr="00440616">
              <w:rPr>
                <w:rFonts w:ascii="Times New Roman" w:eastAsia="Times New Roman" w:hAnsi="Times New Roman" w:cs="Times New Roman"/>
              </w:rPr>
              <w:t xml:space="preserve"> </w:t>
            </w:r>
            <w:r w:rsidR="00E60291" w:rsidRPr="00440616">
              <w:rPr>
                <w:rFonts w:ascii="Times New Roman" w:eastAsia="Times New Roman" w:hAnsi="Times New Roman" w:cs="Times New Roman"/>
              </w:rPr>
              <w:t>mesleki yeterlilik belgesi (ÜDY</w:t>
            </w:r>
            <w:r w:rsidR="00202921" w:rsidRPr="00440616">
              <w:rPr>
                <w:rFonts w:ascii="Times New Roman" w:eastAsia="Times New Roman" w:hAnsi="Times New Roman" w:cs="Times New Roman"/>
              </w:rPr>
              <w:t xml:space="preserve">3) * </w:t>
            </w:r>
            <w:r w:rsidR="00E60291" w:rsidRPr="00440616">
              <w:rPr>
                <w:rFonts w:ascii="Times New Roman" w:eastAsia="Times New Roman" w:hAnsi="Times New Roman" w:cs="Times New Roman"/>
              </w:rPr>
              <w:t>şartını sağlamaları zorunludur.</w:t>
            </w:r>
            <w:r w:rsidR="00440616" w:rsidRPr="00440616">
              <w:rPr>
                <w:rFonts w:ascii="Times New Roman" w:eastAsia="Times New Roman" w:hAnsi="Times New Roman" w:cs="Times New Roman"/>
              </w:rPr>
              <w:t xml:space="preserve"> Bu zorunluluğun TİO yetki belgesi düzenlendiği tarihten itibaren 45 gün içinde yerine getirilmesi ve faaliyeti süresince muhafaza edilmesi gerekir.</w:t>
            </w:r>
          </w:p>
          <w:p w14:paraId="585468F3" w14:textId="63374159" w:rsidR="005D37DB" w:rsidRPr="00440616" w:rsidRDefault="005D37DB" w:rsidP="00E60291">
            <w:pPr>
              <w:shd w:val="clear" w:color="auto" w:fill="FFFFFF"/>
              <w:rPr>
                <w:rFonts w:ascii="Times New Roman" w:eastAsia="Times New Roman" w:hAnsi="Times New Roman" w:cs="Times New Roman"/>
              </w:rPr>
            </w:pPr>
          </w:p>
          <w:p w14:paraId="07270D4B" w14:textId="76FA5624" w:rsidR="00E60291" w:rsidRPr="00440616" w:rsidRDefault="005D37DB" w:rsidP="00E60291">
            <w:pPr>
              <w:shd w:val="clear" w:color="auto" w:fill="FFFFFF"/>
              <w:rPr>
                <w:rFonts w:ascii="Times New Roman" w:eastAsia="Times New Roman" w:hAnsi="Times New Roman" w:cs="Times New Roman"/>
              </w:rPr>
            </w:pPr>
            <w:r w:rsidRPr="00440616">
              <w:rPr>
                <w:rFonts w:ascii="Times New Roman" w:eastAsia="Times New Roman" w:hAnsi="Times New Roman" w:cs="Times New Roman"/>
              </w:rPr>
              <w:t>(</w:t>
            </w:r>
            <w:r w:rsidR="00440616" w:rsidRPr="00440616">
              <w:rPr>
                <w:rFonts w:ascii="Times New Roman" w:eastAsia="Times New Roman" w:hAnsi="Times New Roman" w:cs="Times New Roman"/>
              </w:rPr>
              <w:t>Bu şartın b</w:t>
            </w:r>
            <w:r w:rsidRPr="00440616">
              <w:rPr>
                <w:rFonts w:ascii="Times New Roman" w:eastAsia="Times New Roman" w:hAnsi="Times New Roman" w:cs="Times New Roman"/>
              </w:rPr>
              <w:t>elge düzenlendiği tarihten itibaren 45 gün içinde</w:t>
            </w:r>
            <w:r w:rsidR="00440616" w:rsidRPr="00440616">
              <w:rPr>
                <w:rFonts w:ascii="Times New Roman" w:eastAsia="Times New Roman" w:hAnsi="Times New Roman" w:cs="Times New Roman"/>
              </w:rPr>
              <w:t xml:space="preserve"> sağlanmaması durumunda müeyyide uygulanır.</w:t>
            </w:r>
            <w:r w:rsidRPr="00440616">
              <w:rPr>
                <w:rFonts w:ascii="Times New Roman" w:eastAsia="Times New Roman" w:hAnsi="Times New Roman" w:cs="Times New Roman"/>
              </w:rPr>
              <w:t>)</w:t>
            </w:r>
            <w:r w:rsidR="00E60291" w:rsidRPr="00440616">
              <w:rPr>
                <w:rFonts w:ascii="Times New Roman" w:eastAsia="Times New Roman" w:hAnsi="Times New Roman" w:cs="Times New Roman"/>
              </w:rPr>
              <w:t xml:space="preserve"> </w:t>
            </w:r>
          </w:p>
          <w:p w14:paraId="0035AC33" w14:textId="77777777" w:rsidR="00E60291" w:rsidRPr="00440616" w:rsidRDefault="00E60291" w:rsidP="00E60291">
            <w:pPr>
              <w:shd w:val="clear" w:color="auto" w:fill="FFFFFF"/>
              <w:rPr>
                <w:rFonts w:ascii="Times New Roman" w:eastAsia="Times New Roman" w:hAnsi="Times New Roman" w:cs="Times New Roman"/>
              </w:rPr>
            </w:pPr>
          </w:p>
          <w:p w14:paraId="261BCB9D" w14:textId="52B287A0" w:rsidR="00E60291" w:rsidRPr="00440616" w:rsidRDefault="00E60291" w:rsidP="00E60291">
            <w:pPr>
              <w:shd w:val="clear" w:color="auto" w:fill="FFFFFF"/>
              <w:rPr>
                <w:rFonts w:ascii="Times New Roman" w:eastAsia="Times New Roman" w:hAnsi="Times New Roman" w:cs="Times New Roman"/>
              </w:rPr>
            </w:pPr>
          </w:p>
          <w:p w14:paraId="135F0A86" w14:textId="77777777" w:rsidR="00E60291" w:rsidRPr="00440616" w:rsidRDefault="00E60291" w:rsidP="00E60291">
            <w:pPr>
              <w:shd w:val="clear" w:color="auto" w:fill="FFFFFF"/>
              <w:rPr>
                <w:rFonts w:ascii="Times New Roman" w:eastAsia="Times New Roman" w:hAnsi="Times New Roman" w:cs="Times New Roman"/>
              </w:rPr>
            </w:pPr>
          </w:p>
          <w:p w14:paraId="71ADBA89" w14:textId="77777777" w:rsidR="00E60291" w:rsidRPr="00440616" w:rsidRDefault="00E60291">
            <w:pPr>
              <w:rPr>
                <w:rFonts w:ascii="Times New Roman" w:eastAsia="Times New Roman" w:hAnsi="Times New Roman" w:cs="Times New Roman"/>
              </w:rPr>
            </w:pPr>
          </w:p>
        </w:tc>
        <w:tc>
          <w:tcPr>
            <w:tcW w:w="1054" w:type="dxa"/>
            <w:tcBorders>
              <w:top w:val="single" w:sz="4" w:space="0" w:color="000000"/>
              <w:left w:val="single" w:sz="4" w:space="0" w:color="000000"/>
              <w:bottom w:val="single" w:sz="4" w:space="0" w:color="000000"/>
              <w:right w:val="single" w:sz="6" w:space="0" w:color="000000"/>
            </w:tcBorders>
          </w:tcPr>
          <w:p w14:paraId="30DA0D63" w14:textId="77777777" w:rsidR="00E60291" w:rsidRDefault="00E60291">
            <w:pPr>
              <w:rPr>
                <w:rFonts w:ascii="Times New Roman" w:eastAsia="Times New Roman" w:hAnsi="Times New Roman" w:cs="Times New Roman"/>
              </w:rPr>
            </w:pPr>
          </w:p>
        </w:tc>
      </w:tr>
      <w:tr w:rsidR="004B71D9" w14:paraId="382B8C58" w14:textId="77777777" w:rsidTr="00202921">
        <w:trPr>
          <w:trHeight w:val="416"/>
        </w:trPr>
        <w:tc>
          <w:tcPr>
            <w:tcW w:w="9151" w:type="dxa"/>
            <w:tcBorders>
              <w:top w:val="single" w:sz="4" w:space="0" w:color="000000"/>
              <w:left w:val="single" w:sz="4" w:space="0" w:color="000000"/>
              <w:bottom w:val="single" w:sz="4" w:space="0" w:color="000000"/>
              <w:right w:val="single" w:sz="4" w:space="0" w:color="000000"/>
            </w:tcBorders>
          </w:tcPr>
          <w:p w14:paraId="7D1125A9" w14:textId="58C203F2" w:rsidR="004B71D9" w:rsidRPr="00440616" w:rsidRDefault="00693AFC">
            <w:pPr>
              <w:rPr>
                <w:rFonts w:ascii="Times New Roman" w:hAnsi="Times New Roman" w:cs="Times New Roman"/>
              </w:rPr>
            </w:pPr>
            <w:r w:rsidRPr="00440616">
              <w:rPr>
                <w:rFonts w:ascii="Times New Roman" w:eastAsia="Times New Roman" w:hAnsi="Times New Roman" w:cs="Times New Roman"/>
              </w:rPr>
              <w:t>9</w:t>
            </w:r>
            <w:r w:rsidR="002715FF" w:rsidRPr="00440616">
              <w:rPr>
                <w:rFonts w:ascii="Times New Roman" w:eastAsia="Times New Roman" w:hAnsi="Times New Roman" w:cs="Times New Roman"/>
              </w:rPr>
              <w:t>- Elektronik</w:t>
            </w:r>
            <w:r w:rsidR="00567A18" w:rsidRPr="00440616">
              <w:rPr>
                <w:rFonts w:ascii="Times New Roman" w:eastAsia="Times New Roman" w:hAnsi="Times New Roman" w:cs="Times New Roman"/>
              </w:rPr>
              <w:t xml:space="preserve"> tebligat sistemine kayıtlı olması.  </w:t>
            </w:r>
          </w:p>
          <w:p w14:paraId="15DEB3BE" w14:textId="77777777" w:rsidR="004B71D9" w:rsidRPr="00440616" w:rsidRDefault="00567A18">
            <w:pPr>
              <w:rPr>
                <w:rFonts w:ascii="Times New Roman" w:hAnsi="Times New Roman" w:cs="Times New Roman"/>
              </w:rPr>
            </w:pPr>
            <w:r w:rsidRPr="00440616">
              <w:rPr>
                <w:rFonts w:ascii="Times New Roman" w:eastAsia="Times New Roman" w:hAnsi="Times New Roman" w:cs="Times New Roman"/>
              </w:rPr>
              <w:t xml:space="preserve"> </w:t>
            </w:r>
          </w:p>
        </w:tc>
        <w:tc>
          <w:tcPr>
            <w:tcW w:w="1054" w:type="dxa"/>
            <w:tcBorders>
              <w:top w:val="single" w:sz="4" w:space="0" w:color="000000"/>
              <w:left w:val="single" w:sz="4" w:space="0" w:color="000000"/>
              <w:bottom w:val="single" w:sz="4" w:space="0" w:color="000000"/>
              <w:right w:val="single" w:sz="6" w:space="0" w:color="000000"/>
            </w:tcBorders>
          </w:tcPr>
          <w:p w14:paraId="1BA23081" w14:textId="77777777" w:rsidR="004B71D9" w:rsidRDefault="00567A18">
            <w:r>
              <w:rPr>
                <w:rFonts w:ascii="Times New Roman" w:eastAsia="Times New Roman" w:hAnsi="Times New Roman" w:cs="Times New Roman"/>
              </w:rPr>
              <w:t xml:space="preserve"> </w:t>
            </w:r>
          </w:p>
        </w:tc>
      </w:tr>
      <w:tr w:rsidR="004B71D9" w14:paraId="31AFE1FC" w14:textId="77777777">
        <w:trPr>
          <w:trHeight w:val="998"/>
        </w:trPr>
        <w:tc>
          <w:tcPr>
            <w:tcW w:w="9151" w:type="dxa"/>
            <w:tcBorders>
              <w:top w:val="single" w:sz="4" w:space="0" w:color="000000"/>
              <w:left w:val="single" w:sz="4" w:space="0" w:color="000000"/>
              <w:bottom w:val="single" w:sz="4" w:space="0" w:color="000000"/>
              <w:right w:val="single" w:sz="4" w:space="0" w:color="000000"/>
            </w:tcBorders>
          </w:tcPr>
          <w:p w14:paraId="79B3F0BE" w14:textId="77777777" w:rsidR="004B71D9" w:rsidRDefault="00567A18">
            <w:r>
              <w:rPr>
                <w:rFonts w:ascii="Times New Roman" w:eastAsia="Times New Roman" w:hAnsi="Times New Roman" w:cs="Times New Roman"/>
              </w:rPr>
              <w:t xml:space="preserve"> </w:t>
            </w:r>
          </w:p>
          <w:p w14:paraId="0727B4FE" w14:textId="4E32D886" w:rsidR="004B71D9" w:rsidRDefault="00693AFC">
            <w:pPr>
              <w:rPr>
                <w:rFonts w:ascii="Times New Roman" w:eastAsia="Times New Roman" w:hAnsi="Times New Roman" w:cs="Times New Roman"/>
              </w:rPr>
            </w:pPr>
            <w:r>
              <w:rPr>
                <w:rFonts w:ascii="Times New Roman" w:eastAsia="Times New Roman" w:hAnsi="Times New Roman" w:cs="Times New Roman"/>
              </w:rPr>
              <w:t>10</w:t>
            </w:r>
            <w:r w:rsidR="00567A18">
              <w:rPr>
                <w:rFonts w:ascii="Times New Roman" w:eastAsia="Times New Roman" w:hAnsi="Times New Roman" w:cs="Times New Roman"/>
              </w:rPr>
              <w:t xml:space="preserve">- </w:t>
            </w:r>
            <w:r w:rsidR="00063B96">
              <w:rPr>
                <w:rFonts w:ascii="Times New Roman" w:eastAsia="Times New Roman" w:hAnsi="Times New Roman" w:cs="Times New Roman"/>
              </w:rPr>
              <w:t xml:space="preserve">TİO Yetki </w:t>
            </w:r>
            <w:r w:rsidR="00567A18">
              <w:rPr>
                <w:rFonts w:ascii="Times New Roman" w:eastAsia="Times New Roman" w:hAnsi="Times New Roman" w:cs="Times New Roman"/>
              </w:rPr>
              <w:t>Belge</w:t>
            </w:r>
            <w:r w:rsidR="00063B96">
              <w:rPr>
                <w:rFonts w:ascii="Times New Roman" w:eastAsia="Times New Roman" w:hAnsi="Times New Roman" w:cs="Times New Roman"/>
              </w:rPr>
              <w:t>si</w:t>
            </w:r>
            <w:r w:rsidR="00567A18">
              <w:rPr>
                <w:rFonts w:ascii="Times New Roman" w:eastAsia="Times New Roman" w:hAnsi="Times New Roman" w:cs="Times New Roman"/>
              </w:rPr>
              <w:t xml:space="preserve"> Ücretinin Ödenmiş Olması (</w:t>
            </w:r>
            <w:r w:rsidR="003D51C5">
              <w:rPr>
                <w:rFonts w:ascii="Times New Roman" w:eastAsia="Times New Roman" w:hAnsi="Times New Roman" w:cs="Times New Roman"/>
              </w:rPr>
              <w:t>1.</w:t>
            </w:r>
            <w:r w:rsidR="002744C2">
              <w:rPr>
                <w:rFonts w:ascii="Times New Roman" w:eastAsia="Times New Roman" w:hAnsi="Times New Roman" w:cs="Times New Roman"/>
              </w:rPr>
              <w:t>743.404,00</w:t>
            </w:r>
            <w:r w:rsidR="00567A18">
              <w:rPr>
                <w:rFonts w:ascii="Times New Roman" w:eastAsia="Times New Roman" w:hAnsi="Times New Roman" w:cs="Times New Roman"/>
              </w:rPr>
              <w:t xml:space="preserve"> TL)</w:t>
            </w:r>
          </w:p>
          <w:p w14:paraId="286562CA" w14:textId="17AA1A89" w:rsidR="00063B96" w:rsidRDefault="00063B96">
            <w:r>
              <w:t xml:space="preserve">    **</w:t>
            </w:r>
            <w:bookmarkStart w:id="0" w:name="_Hlk201229375"/>
            <w:r>
              <w:t xml:space="preserve"> 1 yıl süreli TİO Yetki Belgesi Ücreti </w:t>
            </w:r>
            <w:r w:rsidR="002744C2">
              <w:t>446.627,00</w:t>
            </w:r>
            <w:r>
              <w:t xml:space="preserve"> TL</w:t>
            </w:r>
            <w:bookmarkEnd w:id="0"/>
          </w:p>
          <w:p w14:paraId="415D2E3F" w14:textId="1DB493C8" w:rsidR="004B71D9" w:rsidRDefault="004B71D9"/>
        </w:tc>
        <w:tc>
          <w:tcPr>
            <w:tcW w:w="1054" w:type="dxa"/>
            <w:tcBorders>
              <w:top w:val="single" w:sz="4" w:space="0" w:color="000000"/>
              <w:left w:val="single" w:sz="4" w:space="0" w:color="000000"/>
              <w:bottom w:val="single" w:sz="4" w:space="0" w:color="000000"/>
              <w:right w:val="single" w:sz="6" w:space="0" w:color="000000"/>
            </w:tcBorders>
          </w:tcPr>
          <w:p w14:paraId="2EC40992" w14:textId="77777777" w:rsidR="004B71D9" w:rsidRDefault="00567A18">
            <w:r>
              <w:rPr>
                <w:rFonts w:ascii="Times New Roman" w:eastAsia="Times New Roman" w:hAnsi="Times New Roman" w:cs="Times New Roman"/>
              </w:rPr>
              <w:t xml:space="preserve">  </w:t>
            </w:r>
          </w:p>
        </w:tc>
      </w:tr>
      <w:tr w:rsidR="004B71D9" w14:paraId="2A17010D" w14:textId="77777777">
        <w:trPr>
          <w:trHeight w:val="4058"/>
        </w:trPr>
        <w:tc>
          <w:tcPr>
            <w:tcW w:w="10205" w:type="dxa"/>
            <w:gridSpan w:val="2"/>
            <w:tcBorders>
              <w:top w:val="single" w:sz="4" w:space="0" w:color="000000"/>
              <w:left w:val="single" w:sz="4" w:space="0" w:color="000000"/>
              <w:bottom w:val="single" w:sz="4" w:space="0" w:color="000000"/>
              <w:right w:val="single" w:sz="6" w:space="0" w:color="000000"/>
            </w:tcBorders>
          </w:tcPr>
          <w:p w14:paraId="437D4003" w14:textId="77777777" w:rsidR="004B71D9" w:rsidRPr="00440616" w:rsidRDefault="00567A18">
            <w:r>
              <w:rPr>
                <w:rFonts w:ascii="Times New Roman" w:eastAsia="Times New Roman" w:hAnsi="Times New Roman" w:cs="Times New Roman"/>
              </w:rPr>
              <w:lastRenderedPageBreak/>
              <w:t xml:space="preserve"> </w:t>
            </w:r>
          </w:p>
          <w:p w14:paraId="370D8729" w14:textId="77777777" w:rsidR="004B71D9" w:rsidRPr="00440616" w:rsidRDefault="00567A18">
            <w:pPr>
              <w:spacing w:after="3"/>
            </w:pPr>
            <w:r w:rsidRPr="00440616">
              <w:rPr>
                <w:rFonts w:ascii="Times New Roman" w:eastAsia="Times New Roman" w:hAnsi="Times New Roman" w:cs="Times New Roman"/>
              </w:rPr>
              <w:t xml:space="preserve">9-Başvuru Yapılacak Bölge Müdürlükleri </w:t>
            </w:r>
          </w:p>
          <w:p w14:paraId="1D070218" w14:textId="77777777" w:rsidR="004B71D9" w:rsidRPr="00440616" w:rsidRDefault="00567A18">
            <w:pPr>
              <w:numPr>
                <w:ilvl w:val="0"/>
                <w:numId w:val="1"/>
              </w:numPr>
              <w:spacing w:after="8"/>
              <w:ind w:hanging="360"/>
            </w:pPr>
            <w:r w:rsidRPr="00440616">
              <w:rPr>
                <w:rFonts w:ascii="Times New Roman" w:eastAsia="Times New Roman" w:hAnsi="Times New Roman" w:cs="Times New Roman"/>
              </w:rPr>
              <w:t xml:space="preserve">I.    Bölge Müdürlüğü (İstanbul, Tekirdağ, Kırklareli, Edirne, Kocaeli) </w:t>
            </w:r>
          </w:p>
          <w:p w14:paraId="30E81029" w14:textId="77777777" w:rsidR="004B71D9" w:rsidRPr="00440616" w:rsidRDefault="00567A18">
            <w:pPr>
              <w:numPr>
                <w:ilvl w:val="0"/>
                <w:numId w:val="1"/>
              </w:numPr>
              <w:spacing w:after="8"/>
              <w:ind w:hanging="360"/>
            </w:pPr>
            <w:r w:rsidRPr="00440616">
              <w:rPr>
                <w:rFonts w:ascii="Times New Roman" w:eastAsia="Times New Roman" w:hAnsi="Times New Roman" w:cs="Times New Roman"/>
              </w:rPr>
              <w:t xml:space="preserve">II.   Bölge Müdürlüğü (Ankara, Kırşehir, Kırıkkale, Nevşehir, Aksaray, Çankırı, Konya, Eskişehir, Kayseri) </w:t>
            </w:r>
          </w:p>
          <w:p w14:paraId="51C0CCA3" w14:textId="77777777" w:rsidR="004B71D9" w:rsidRPr="00440616" w:rsidRDefault="00567A18">
            <w:pPr>
              <w:numPr>
                <w:ilvl w:val="0"/>
                <w:numId w:val="1"/>
              </w:numPr>
              <w:spacing w:after="11"/>
              <w:ind w:hanging="360"/>
            </w:pPr>
            <w:r w:rsidRPr="00440616">
              <w:rPr>
                <w:rFonts w:ascii="Times New Roman" w:eastAsia="Times New Roman" w:hAnsi="Times New Roman" w:cs="Times New Roman"/>
              </w:rPr>
              <w:t xml:space="preserve">III.  Bölge Müdürlüğü (İzmir, Manisa, Uşak, Aydın, Denizli, Muğla) </w:t>
            </w:r>
          </w:p>
          <w:p w14:paraId="6C775796"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IV.  Bölge Müdürlüğü  (Bursa Bilecik, Balıkesir, Kütahya, Çanakkale, Yalova) </w:t>
            </w:r>
          </w:p>
          <w:p w14:paraId="3968158C"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V.   Bölge Müdürlüğü  (Adana, Mersin, Karaman, Niğde, Hatay) </w:t>
            </w:r>
          </w:p>
          <w:p w14:paraId="690F5FAB" w14:textId="77777777" w:rsidR="004B71D9" w:rsidRPr="00440616" w:rsidRDefault="00567A18">
            <w:pPr>
              <w:numPr>
                <w:ilvl w:val="0"/>
                <w:numId w:val="1"/>
              </w:numPr>
              <w:spacing w:after="11"/>
              <w:ind w:hanging="360"/>
            </w:pPr>
            <w:r w:rsidRPr="00440616">
              <w:rPr>
                <w:rFonts w:ascii="Times New Roman" w:eastAsia="Times New Roman" w:hAnsi="Times New Roman" w:cs="Times New Roman"/>
              </w:rPr>
              <w:t xml:space="preserve">VI.  Bölge Müdürlüğü  (Antalya, Afyon, Burdur, Isparta) </w:t>
            </w:r>
          </w:p>
          <w:p w14:paraId="0DD60BB9"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VII. Bölge Müdürlüğü (Gaziantep, Adıyaman, Kahramanmaraş, Kilis, Osmaniye, Şanlıurfa) </w:t>
            </w:r>
          </w:p>
          <w:p w14:paraId="678C818F" w14:textId="77777777" w:rsidR="004B71D9" w:rsidRPr="00440616" w:rsidRDefault="00567A18">
            <w:pPr>
              <w:numPr>
                <w:ilvl w:val="0"/>
                <w:numId w:val="1"/>
              </w:numPr>
              <w:spacing w:after="11"/>
              <w:ind w:hanging="360"/>
            </w:pPr>
            <w:r w:rsidRPr="00440616">
              <w:rPr>
                <w:rFonts w:ascii="Times New Roman" w:eastAsia="Times New Roman" w:hAnsi="Times New Roman" w:cs="Times New Roman"/>
              </w:rPr>
              <w:t xml:space="preserve">VIII. Bölge Müdürlüğü (Diyarbakır, Batman, Bitlis, Elazığ, Hakkâri, Mardin, Siirt, Şırnak, Van) </w:t>
            </w:r>
          </w:p>
          <w:p w14:paraId="1453447C"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IX.   Bölge Müdürlüğü (Samsun, Amasya, Çorum, Ordu, Sinop) </w:t>
            </w:r>
          </w:p>
          <w:p w14:paraId="59771459" w14:textId="77777777" w:rsidR="004B71D9" w:rsidRPr="00440616" w:rsidRDefault="00567A18">
            <w:pPr>
              <w:numPr>
                <w:ilvl w:val="0"/>
                <w:numId w:val="1"/>
              </w:numPr>
              <w:spacing w:after="11"/>
              <w:ind w:hanging="360"/>
            </w:pPr>
            <w:r w:rsidRPr="00440616">
              <w:rPr>
                <w:rFonts w:ascii="Times New Roman" w:eastAsia="Times New Roman" w:hAnsi="Times New Roman" w:cs="Times New Roman"/>
              </w:rPr>
              <w:t xml:space="preserve">X.   Bölge Müdürlüğü (Erzurum, Ağrı, Ardahan, Bayburt, Bingöl, Erzincan, Iğdır, Kars, Muş, Tunceli) </w:t>
            </w:r>
          </w:p>
          <w:p w14:paraId="4854893A"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XI.  Bölge Müdürlüğü (Trabzon, Artvin, Giresun, Gümüşhane, Rize) </w:t>
            </w:r>
          </w:p>
          <w:p w14:paraId="6E214950" w14:textId="77777777" w:rsidR="004B71D9" w:rsidRPr="00440616" w:rsidRDefault="00567A18">
            <w:pPr>
              <w:numPr>
                <w:ilvl w:val="0"/>
                <w:numId w:val="1"/>
              </w:numPr>
              <w:spacing w:after="9"/>
              <w:ind w:hanging="360"/>
            </w:pPr>
            <w:r w:rsidRPr="00440616">
              <w:rPr>
                <w:rFonts w:ascii="Times New Roman" w:eastAsia="Times New Roman" w:hAnsi="Times New Roman" w:cs="Times New Roman"/>
              </w:rPr>
              <w:t xml:space="preserve">XII. Bölge Müdürlüğü (Sivas, Malatya, Tokat, Yozgat) </w:t>
            </w:r>
          </w:p>
          <w:p w14:paraId="0E067AB3" w14:textId="77777777" w:rsidR="004B71D9" w:rsidRPr="00440616" w:rsidRDefault="00567A18">
            <w:pPr>
              <w:numPr>
                <w:ilvl w:val="0"/>
                <w:numId w:val="1"/>
              </w:numPr>
              <w:ind w:hanging="360"/>
            </w:pPr>
            <w:r w:rsidRPr="00440616">
              <w:rPr>
                <w:rFonts w:ascii="Times New Roman" w:eastAsia="Times New Roman" w:hAnsi="Times New Roman" w:cs="Times New Roman"/>
              </w:rPr>
              <w:t xml:space="preserve">XIII.Bölge Müdürlüğü (Bolu, Bartın, Düzce, Karabük, Kastamonu, Sakarya, Zonguldak) </w:t>
            </w:r>
          </w:p>
          <w:p w14:paraId="299DE997" w14:textId="77777777" w:rsidR="004B71D9" w:rsidRDefault="00567A18">
            <w:pPr>
              <w:ind w:left="466"/>
            </w:pPr>
            <w:r>
              <w:rPr>
                <w:rFonts w:ascii="Times New Roman" w:eastAsia="Times New Roman" w:hAnsi="Times New Roman" w:cs="Times New Roman"/>
              </w:rPr>
              <w:t xml:space="preserve"> </w:t>
            </w:r>
          </w:p>
        </w:tc>
      </w:tr>
    </w:tbl>
    <w:p w14:paraId="1EE2E2EC" w14:textId="77777777" w:rsidR="00063B96" w:rsidRDefault="00567A18" w:rsidP="00063B96">
      <w:pPr>
        <w:spacing w:after="2"/>
        <w:ind w:left="418"/>
        <w:jc w:val="center"/>
      </w:pPr>
      <w:r>
        <w:rPr>
          <w:rFonts w:ascii="Times New Roman" w:eastAsia="Times New Roman" w:hAnsi="Times New Roman" w:cs="Times New Roman"/>
        </w:rPr>
        <w:t xml:space="preserve"> </w:t>
      </w:r>
    </w:p>
    <w:p w14:paraId="65B1AC59" w14:textId="0AF61DD3" w:rsidR="004B71D9" w:rsidRPr="005D37DB" w:rsidRDefault="00202921" w:rsidP="005D37DB">
      <w:pPr>
        <w:spacing w:after="2"/>
        <w:jc w:val="both"/>
        <w:rPr>
          <w:rFonts w:ascii="Times New Roman" w:hAnsi="Times New Roman" w:cs="Times New Roman"/>
          <w:i/>
          <w:iCs/>
          <w:sz w:val="18"/>
          <w:szCs w:val="18"/>
        </w:rPr>
      </w:pPr>
      <w:r w:rsidRPr="005D37DB">
        <w:rPr>
          <w:rFonts w:ascii="Times New Roman" w:eastAsia="Times New Roman" w:hAnsi="Times New Roman" w:cs="Times New Roman"/>
          <w:i/>
          <w:iCs/>
          <w:sz w:val="18"/>
          <w:szCs w:val="18"/>
        </w:rPr>
        <w:t>*</w:t>
      </w:r>
      <w:r w:rsidRPr="005D37DB">
        <w:rPr>
          <w:rFonts w:ascii="Times New Roman" w:hAnsi="Times New Roman" w:cs="Times New Roman"/>
          <w:i/>
          <w:iCs/>
          <w:sz w:val="18"/>
          <w:szCs w:val="18"/>
        </w:rPr>
        <w:t xml:space="preserve"> Ülkemizdeki yükseköğretim kurumlarında yer alan lojistik, denizcilik işletmeleri yönetimi, deniz ulaştırma işletme mühendisliği, deniz işletmeciliği ve yönetimi bölümlerinin lisans veya ön lisans mezunları ile “IRU” ve “FIATA” eğitim programına katılıp başarılı olanların diplomaları birinci ve ikinci fıkralarda yer alan ÜDY veya ODY belgelerinin yerine kullanılabilir.</w:t>
      </w:r>
    </w:p>
    <w:p w14:paraId="5AFC740B" w14:textId="1139D5C4" w:rsidR="00063B96" w:rsidRDefault="00063B96" w:rsidP="005D37DB">
      <w:pPr>
        <w:spacing w:after="0" w:line="240" w:lineRule="auto"/>
        <w:jc w:val="both"/>
        <w:rPr>
          <w:rFonts w:ascii="Times New Roman" w:hAnsi="Times New Roman" w:cs="Times New Roman"/>
          <w:b/>
          <w:bCs/>
          <w:i/>
          <w:iCs/>
          <w:sz w:val="20"/>
          <w:szCs w:val="20"/>
          <w:u w:val="single"/>
        </w:rPr>
      </w:pPr>
      <w:r w:rsidRPr="005D37DB">
        <w:rPr>
          <w:rFonts w:ascii="Times New Roman" w:hAnsi="Times New Roman" w:cs="Times New Roman"/>
          <w:i/>
          <w:iCs/>
          <w:sz w:val="18"/>
          <w:szCs w:val="18"/>
        </w:rPr>
        <w:t xml:space="preserve">** </w:t>
      </w:r>
      <w:r w:rsidR="005D37DB" w:rsidRPr="005D37DB">
        <w:rPr>
          <w:rFonts w:ascii="Times New Roman" w:hAnsi="Times New Roman" w:cs="Times New Roman"/>
          <w:i/>
          <w:iCs/>
          <w:sz w:val="18"/>
          <w:szCs w:val="18"/>
        </w:rPr>
        <w:t xml:space="preserve">1 </w:t>
      </w:r>
      <w:r w:rsidRPr="005D37DB">
        <w:rPr>
          <w:rFonts w:ascii="Times New Roman" w:hAnsi="Times New Roman" w:cs="Times New Roman"/>
          <w:i/>
          <w:iCs/>
          <w:sz w:val="18"/>
          <w:szCs w:val="18"/>
        </w:rPr>
        <w:t xml:space="preserve">yıl süreli düzenlenen yetki belgeleri, belge geçerlilik süresi içerisinde müracaat edilmesi ve </w:t>
      </w:r>
      <w:r w:rsidR="005D37DB">
        <w:rPr>
          <w:rFonts w:ascii="Times New Roman" w:hAnsi="Times New Roman" w:cs="Times New Roman"/>
          <w:i/>
          <w:iCs/>
          <w:sz w:val="18"/>
          <w:szCs w:val="18"/>
        </w:rPr>
        <w:t>belge tam ücreti ile ödenen ücret arasındaki</w:t>
      </w:r>
      <w:r w:rsidRPr="005D37DB">
        <w:rPr>
          <w:rFonts w:ascii="Times New Roman" w:hAnsi="Times New Roman" w:cs="Times New Roman"/>
          <w:i/>
          <w:iCs/>
          <w:sz w:val="18"/>
          <w:szCs w:val="18"/>
        </w:rPr>
        <w:t xml:space="preserve"> farkın ödenmesi kaydıyla kullanılan gün sayısı </w:t>
      </w:r>
      <w:r w:rsidR="005D37DB">
        <w:rPr>
          <w:rFonts w:ascii="Times New Roman" w:hAnsi="Times New Roman" w:cs="Times New Roman"/>
          <w:i/>
          <w:iCs/>
          <w:sz w:val="18"/>
          <w:szCs w:val="18"/>
        </w:rPr>
        <w:t xml:space="preserve">5 yıllık </w:t>
      </w:r>
      <w:r w:rsidRPr="005D37DB">
        <w:rPr>
          <w:rFonts w:ascii="Times New Roman" w:hAnsi="Times New Roman" w:cs="Times New Roman"/>
          <w:i/>
          <w:iCs/>
          <w:sz w:val="18"/>
          <w:szCs w:val="18"/>
        </w:rPr>
        <w:t>süreden düşülerek yeniden düzenlenir.</w:t>
      </w:r>
      <w:r w:rsidR="005D37DB" w:rsidRPr="005D37DB">
        <w:rPr>
          <w:rFonts w:ascii="Times New Roman" w:hAnsi="Times New Roman" w:cs="Times New Roman"/>
          <w:i/>
          <w:iCs/>
          <w:sz w:val="18"/>
          <w:szCs w:val="18"/>
        </w:rPr>
        <w:t xml:space="preserve"> </w:t>
      </w:r>
      <w:r w:rsidR="005D37DB" w:rsidRPr="005D37DB">
        <w:rPr>
          <w:rFonts w:ascii="Times New Roman" w:hAnsi="Times New Roman" w:cs="Times New Roman"/>
          <w:b/>
          <w:bCs/>
          <w:i/>
          <w:iCs/>
          <w:sz w:val="20"/>
          <w:szCs w:val="20"/>
          <w:u w:val="single"/>
        </w:rPr>
        <w:t>Bir yıl süreli olarak verilen yetki belgeleri yenilenmez.</w:t>
      </w:r>
    </w:p>
    <w:p w14:paraId="0FCC9BDF" w14:textId="77777777" w:rsidR="002715FF" w:rsidRDefault="002715FF" w:rsidP="005D37DB">
      <w:pPr>
        <w:spacing w:after="0" w:line="240" w:lineRule="auto"/>
        <w:jc w:val="both"/>
        <w:rPr>
          <w:rFonts w:ascii="Times New Roman" w:hAnsi="Times New Roman" w:cs="Times New Roman"/>
          <w:b/>
          <w:bCs/>
          <w:i/>
          <w:iCs/>
          <w:sz w:val="20"/>
          <w:szCs w:val="20"/>
          <w:u w:val="single"/>
        </w:rPr>
      </w:pPr>
    </w:p>
    <w:p w14:paraId="5D6A27F6" w14:textId="412DA981" w:rsidR="002715FF" w:rsidRDefault="002715FF" w:rsidP="005D37DB">
      <w:pPr>
        <w:spacing w:after="0" w:line="240" w:lineRule="auto"/>
        <w:jc w:val="both"/>
        <w:rPr>
          <w:sz w:val="18"/>
          <w:szCs w:val="18"/>
        </w:rPr>
      </w:pPr>
      <w:r>
        <w:rPr>
          <w:rFonts w:ascii="Times New Roman" w:hAnsi="Times New Roman" w:cs="Times New Roman"/>
          <w:b/>
          <w:bCs/>
          <w:i/>
          <w:iCs/>
          <w:sz w:val="20"/>
          <w:szCs w:val="20"/>
          <w:u w:val="single"/>
        </w:rPr>
        <w:t xml:space="preserve">Not 1: </w:t>
      </w:r>
      <w:r w:rsidRPr="005D37DB">
        <w:rPr>
          <w:rFonts w:ascii="Times New Roman" w:hAnsi="Times New Roman" w:cs="Times New Roman"/>
          <w:i/>
          <w:iCs/>
          <w:sz w:val="18"/>
          <w:szCs w:val="18"/>
        </w:rPr>
        <w:t xml:space="preserve">1 yıl süreli düzenlenen yetki belgeleri, </w:t>
      </w:r>
      <w:r>
        <w:rPr>
          <w:sz w:val="18"/>
          <w:szCs w:val="18"/>
        </w:rPr>
        <w:t>Kombine Taşımacılık Yönetmeliği kapsamında Yeşil Lojistik Belgesi başvurusunda bulunamaz.</w:t>
      </w:r>
    </w:p>
    <w:p w14:paraId="71C77F48" w14:textId="77777777" w:rsidR="002715FF" w:rsidRDefault="002715FF" w:rsidP="005D37DB">
      <w:pPr>
        <w:spacing w:after="0" w:line="240" w:lineRule="auto"/>
        <w:jc w:val="both"/>
        <w:rPr>
          <w:rFonts w:ascii="Times New Roman" w:hAnsi="Times New Roman" w:cs="Times New Roman"/>
          <w:b/>
          <w:bCs/>
          <w:i/>
          <w:iCs/>
          <w:sz w:val="20"/>
          <w:szCs w:val="20"/>
          <w:u w:val="single"/>
        </w:rPr>
      </w:pPr>
    </w:p>
    <w:p w14:paraId="72CA6C09" w14:textId="378483F7" w:rsidR="002715FF" w:rsidRPr="005D37DB" w:rsidRDefault="002715FF" w:rsidP="005D37DB">
      <w:pPr>
        <w:spacing w:after="0" w:line="240" w:lineRule="auto"/>
        <w:jc w:val="both"/>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 xml:space="preserve">Not 2: </w:t>
      </w:r>
      <w:r w:rsidRPr="005D37DB">
        <w:rPr>
          <w:rFonts w:ascii="Times New Roman" w:hAnsi="Times New Roman" w:cs="Times New Roman"/>
          <w:i/>
          <w:iCs/>
          <w:sz w:val="18"/>
          <w:szCs w:val="18"/>
        </w:rPr>
        <w:t xml:space="preserve">1 yıl süreli düzenlenen yetki belgeleri, </w:t>
      </w:r>
      <w:r>
        <w:rPr>
          <w:sz w:val="18"/>
          <w:szCs w:val="18"/>
        </w:rPr>
        <w:t>Karayolu Taşıma Yönetmeliğinin 73 üncü maddesinde yer alan indirimlerden yararlanamaz.</w:t>
      </w:r>
    </w:p>
    <w:sectPr w:rsidR="002715FF" w:rsidRPr="005D37DB">
      <w:pgSz w:w="11906" w:h="16838"/>
      <w:pgMar w:top="1440" w:right="1440"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2A6F"/>
    <w:multiLevelType w:val="hybridMultilevel"/>
    <w:tmpl w:val="2948211C"/>
    <w:lvl w:ilvl="0" w:tplc="9138BC5C">
      <w:start w:val="1"/>
      <w:numFmt w:val="bullet"/>
      <w:lvlText w:val="-"/>
      <w:lvlJc w:val="left"/>
      <w:pPr>
        <w:ind w:left="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E0F77E">
      <w:start w:val="1"/>
      <w:numFmt w:val="bullet"/>
      <w:lvlText w:val="o"/>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FA3DC2">
      <w:start w:val="1"/>
      <w:numFmt w:val="bullet"/>
      <w:lvlText w:val="▪"/>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2898B4">
      <w:start w:val="1"/>
      <w:numFmt w:val="bullet"/>
      <w:lvlText w:val="•"/>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FA46B2">
      <w:start w:val="1"/>
      <w:numFmt w:val="bullet"/>
      <w:lvlText w:val="o"/>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C241E4">
      <w:start w:val="1"/>
      <w:numFmt w:val="bullet"/>
      <w:lvlText w:val="▪"/>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A2E5F0">
      <w:start w:val="1"/>
      <w:numFmt w:val="bullet"/>
      <w:lvlText w:val="•"/>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77E">
      <w:start w:val="1"/>
      <w:numFmt w:val="bullet"/>
      <w:lvlText w:val="o"/>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02C6C">
      <w:start w:val="1"/>
      <w:numFmt w:val="bullet"/>
      <w:lvlText w:val="▪"/>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5576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D9"/>
    <w:rsid w:val="00063B96"/>
    <w:rsid w:val="00202921"/>
    <w:rsid w:val="002715FF"/>
    <w:rsid w:val="002744C2"/>
    <w:rsid w:val="003D51C5"/>
    <w:rsid w:val="00440616"/>
    <w:rsid w:val="004B71D9"/>
    <w:rsid w:val="00567A18"/>
    <w:rsid w:val="005D37DB"/>
    <w:rsid w:val="00693AFC"/>
    <w:rsid w:val="007855CF"/>
    <w:rsid w:val="0088402C"/>
    <w:rsid w:val="00981459"/>
    <w:rsid w:val="00A358B9"/>
    <w:rsid w:val="00CA5CED"/>
    <w:rsid w:val="00E60291"/>
    <w:rsid w:val="00F275D6"/>
    <w:rsid w:val="00FC30E4"/>
    <w:rsid w:val="00FF2F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B71A"/>
  <w15:docId w15:val="{1B1FA06C-0B3C-4521-AFCF-6E6D9A0C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360"/>
      <w:jc w:val="right"/>
      <w:outlineLvl w:val="0"/>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Güldane Karaaslan</dc:creator>
  <cp:keywords/>
  <cp:lastModifiedBy>Güldane Karaaslan</cp:lastModifiedBy>
  <cp:revision>3</cp:revision>
  <cp:lastPrinted>2025-06-19T11:43:00Z</cp:lastPrinted>
  <dcterms:created xsi:type="dcterms:W3CDTF">2025-06-19T12:24:00Z</dcterms:created>
  <dcterms:modified xsi:type="dcterms:W3CDTF">2026-01-19T08:08:00Z</dcterms:modified>
</cp:coreProperties>
</file>